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1F2" w:rsidRDefault="00357C2A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  <w:highlight w:val="yellow"/>
        </w:rPr>
        <w:t xml:space="preserve">4th </w:t>
      </w:r>
      <w:r>
        <w:rPr>
          <w:rFonts w:ascii="Century Gothic" w:eastAsia="Century Gothic" w:hAnsi="Century Gothic" w:cs="Century Gothic"/>
          <w:b/>
          <w:highlight w:val="yellow"/>
        </w:rPr>
        <w:t xml:space="preserve">Nine </w:t>
      </w:r>
      <w:proofErr w:type="gramStart"/>
      <w:r>
        <w:rPr>
          <w:rFonts w:ascii="Century Gothic" w:eastAsia="Century Gothic" w:hAnsi="Century Gothic" w:cs="Century Gothic"/>
          <w:b/>
          <w:highlight w:val="yellow"/>
        </w:rPr>
        <w:t>Weeks</w:t>
      </w:r>
      <w:r>
        <w:rPr>
          <w:rFonts w:ascii="Century Gothic" w:eastAsia="Century Gothic" w:hAnsi="Century Gothic" w:cs="Century Gothic"/>
          <w:b/>
        </w:rPr>
        <w:t xml:space="preserve">  </w:t>
      </w:r>
      <w:r>
        <w:rPr>
          <w:rFonts w:ascii="Century Gothic" w:eastAsia="Century Gothic" w:hAnsi="Century Gothic" w:cs="Century Gothic"/>
          <w:b/>
          <w:highlight w:val="yellow"/>
        </w:rPr>
        <w:t>(</w:t>
      </w:r>
      <w:proofErr w:type="gramEnd"/>
      <w:r>
        <w:rPr>
          <w:rFonts w:ascii="Century Gothic" w:eastAsia="Century Gothic" w:hAnsi="Century Gothic" w:cs="Century Gothic"/>
          <w:b/>
          <w:highlight w:val="yellow"/>
        </w:rPr>
        <w:t xml:space="preserve">Grade Level/Course) </w:t>
      </w:r>
      <w:r>
        <w:rPr>
          <w:rFonts w:ascii="Century Gothic" w:eastAsia="Century Gothic" w:hAnsi="Century Gothic" w:cs="Century Gothic"/>
          <w:b/>
        </w:rPr>
        <w:t>– 201</w:t>
      </w:r>
      <w:r>
        <w:rPr>
          <w:rFonts w:ascii="Century Gothic" w:eastAsia="Century Gothic" w:hAnsi="Century Gothic" w:cs="Century Gothic"/>
          <w:b/>
        </w:rPr>
        <w:t>9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2020</w:t>
      </w:r>
    </w:p>
    <w:p w:rsidR="000601F2" w:rsidRDefault="00357C2A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highlight w:val="yellow"/>
        </w:rPr>
        <w:t>25 Total Days of Instruction</w:t>
      </w:r>
    </w:p>
    <w:p w:rsidR="000601F2" w:rsidRDefault="000601F2">
      <w:pPr>
        <w:jc w:val="center"/>
        <w:rPr>
          <w:rFonts w:ascii="Century Gothic" w:eastAsia="Century Gothic" w:hAnsi="Century Gothic" w:cs="Century Gothic"/>
        </w:rPr>
      </w:pPr>
    </w:p>
    <w:p w:rsidR="000601F2" w:rsidRDefault="000601F2">
      <w:pPr>
        <w:jc w:val="center"/>
        <w:rPr>
          <w:rFonts w:ascii="Century Gothic" w:eastAsia="Century Gothic" w:hAnsi="Century Gothic" w:cs="Century Gothic"/>
        </w:rPr>
      </w:pPr>
    </w:p>
    <w:p w:rsidR="000601F2" w:rsidRDefault="00357C2A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 that students will be able to read to find answers to life's big questions. </w:t>
      </w:r>
      <w:r>
        <w:rPr>
          <w:rFonts w:ascii="Century Gothic" w:eastAsia="Century Gothic" w:hAnsi="Century Gothic" w:cs="Century Gothic"/>
          <w:b/>
        </w:rPr>
        <w:tab/>
      </w: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write to organize their thoughts.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0601F2" w:rsidRDefault="000601F2">
      <w:pPr>
        <w:rPr>
          <w:rFonts w:ascii="Century Gothic" w:eastAsia="Century Gothic" w:hAnsi="Century Gothic" w:cs="Century Gothic"/>
          <w:b/>
        </w:rPr>
      </w:pPr>
    </w:p>
    <w:p w:rsidR="000601F2" w:rsidRDefault="00357C2A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Focus Standards:</w:t>
      </w:r>
    </w:p>
    <w:p w:rsidR="000601F2" w:rsidRDefault="00357C2A">
      <w:pPr>
        <w:ind w:left="1440" w:firstLine="720"/>
        <w:rPr>
          <w:rFonts w:ascii="Century Gothic" w:eastAsia="Century Gothic" w:hAnsi="Century Gothic" w:cs="Century Gothic"/>
          <w:b/>
        </w:rPr>
      </w:pP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Reading Skills</w:t>
        </w:r>
      </w:hyperlink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Literature (RL): Analyze literature for author’s purpose, characteristics of literary movements, and theme.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what a text say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s explicitly and implicitly as well as inferences and interpretations drawn from the text through citing textual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evidence determining where the text leaves matters uncertain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Compare and contrast the development of similar themes across two or more 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works of literature and analyze how they emerge and are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shaped and refined by specific details.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RL.2.3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how the author's choices impact character development over the course of a text (e.g. how the characters are introduced and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developed).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RL.3.1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Analyze and evaluate how an author’s choices concerning how to structure specific parts of a work of literature (e.g. the choice of where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to begin or end a story, the choice to provide a comedic or tragic resolution) contribute to its overall meaning and </w:t>
      </w:r>
      <w:r>
        <w:rPr>
          <w:rFonts w:ascii="Century Gothic" w:eastAsia="Century Gothic" w:hAnsi="Century Gothic" w:cs="Century Gothic"/>
          <w:sz w:val="20"/>
          <w:szCs w:val="20"/>
        </w:rPr>
        <w:t>effect of a work.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RL.4.2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Analyze and evaluate works of literary or cultural significance in history for the way in which these works have used archetypes drawn from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myths, traditional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stories,or</w:t>
      </w:r>
      <w:proofErr w:type="spellEnd"/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religious works, as well as how two or more of the works tre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at similar themes, conflicts, issues, or topics, and maintain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relevance for current audiences.</w:t>
      </w: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Nonfiction (RN):</w:t>
      </w: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Writing: </w:t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TC Created Vertical Articulation of Writing Skills</w:t>
        </w:r>
      </w:hyperlink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W.1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Write routinely over a variety of time frames for a range of tasks, purposes, and audiences; apply reading standards to support analysis,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reflection, and research by drawing evidence from literature a</w:t>
      </w:r>
      <w:r>
        <w:rPr>
          <w:rFonts w:ascii="Century Gothic" w:eastAsia="Century Gothic" w:hAnsi="Century Gothic" w:cs="Century Gothic"/>
          <w:sz w:val="20"/>
          <w:szCs w:val="20"/>
        </w:rPr>
        <w:t>nd nonfiction texts.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W.3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W.3.1</w:t>
      </w:r>
      <w:r>
        <w:rPr>
          <w:rFonts w:ascii="Century Gothic" w:eastAsia="Century Gothic" w:hAnsi="Century Gothic" w:cs="Century Gothic"/>
          <w:sz w:val="20"/>
          <w:szCs w:val="20"/>
        </w:rPr>
        <w:t>Write arguments in a variety of forms that –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Introduce precise, claim(s), establish the significance of the claim(s), distinguish the claim(s) from alternate or opposing claims, and create an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organization that logically seq</w:t>
      </w:r>
      <w:r>
        <w:rPr>
          <w:rFonts w:ascii="Century Gothic" w:eastAsia="Century Gothic" w:hAnsi="Century Gothic" w:cs="Century Gothic"/>
          <w:sz w:val="20"/>
          <w:szCs w:val="20"/>
        </w:rPr>
        <w:t>uences claim(s), counterclaims, reasons, and evidence.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Use rhetorical strategies to enhance the effectiveness of the claim.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Develop claim(s) and counterclaims fairly and thoroughly, supplying the most relevant evidence for each while pointing out the s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trengths and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limitations of both in a manner that anticipates the audience’s knowledge level, concerns, values, and possible biases.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Use effective and varied transitions as well as varied syntax to link the major sections of the text, create cohesion, a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nd clarify the relationships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between claim(s) and reasons, between reasons and evidence, and between claim(s) and counterclaims.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Establish and maintain a consistent style and tone appropriate to purpose and audience.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Provide a concluding statement or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section that follows from and supports the argument presented.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proofErr w:type="gramStart"/>
      <w:r>
        <w:rPr>
          <w:rFonts w:ascii="Century Gothic" w:eastAsia="Century Gothic" w:hAnsi="Century Gothic" w:cs="Century Gothic"/>
          <w:sz w:val="20"/>
          <w:szCs w:val="20"/>
          <w:highlight w:val="cyan"/>
        </w:rPr>
        <w:t>W.4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  Apply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the writing process to all formal writing including but not limited to argumentative, </w:t>
      </w:r>
      <w:proofErr w:type="spellStart"/>
      <w:r>
        <w:rPr>
          <w:rFonts w:ascii="Century Gothic" w:eastAsia="Century Gothic" w:hAnsi="Century Gothic" w:cs="Century Gothic"/>
          <w:sz w:val="20"/>
          <w:szCs w:val="20"/>
        </w:rPr>
        <w:t>informative,and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 xml:space="preserve"> narrative.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● Plan and develop; draft; revise using appropriate reference mater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ials;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rewrite;try</w:t>
      </w:r>
      <w:proofErr w:type="spellEnd"/>
      <w:proofErr w:type="gramEnd"/>
      <w:r>
        <w:rPr>
          <w:rFonts w:ascii="Century Gothic" w:eastAsia="Century Gothic" w:hAnsi="Century Gothic" w:cs="Century Gothic"/>
          <w:sz w:val="20"/>
          <w:szCs w:val="20"/>
        </w:rPr>
        <w:t xml:space="preserve"> a new approach, focusing on addressing what is most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lastRenderedPageBreak/>
        <w:t>significant for a specific purpose and audience; and edit to produce and strengthen writing that is clear and coherent.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Use technology to generate, </w:t>
      </w:r>
      <w:proofErr w:type="spellStart"/>
      <w:proofErr w:type="gramStart"/>
      <w:r>
        <w:rPr>
          <w:rFonts w:ascii="Century Gothic" w:eastAsia="Century Gothic" w:hAnsi="Century Gothic" w:cs="Century Gothic"/>
          <w:sz w:val="20"/>
          <w:szCs w:val="20"/>
        </w:rPr>
        <w:t>produce,publish</w:t>
      </w:r>
      <w:proofErr w:type="gramEnd"/>
      <w:r>
        <w:rPr>
          <w:rFonts w:ascii="Century Gothic" w:eastAsia="Century Gothic" w:hAnsi="Century Gothic" w:cs="Century Gothic"/>
          <w:sz w:val="20"/>
          <w:szCs w:val="20"/>
        </w:rPr>
        <w:t>,and</w:t>
      </w:r>
      <w:proofErr w:type="spellEnd"/>
      <w:r>
        <w:rPr>
          <w:rFonts w:ascii="Century Gothic" w:eastAsia="Century Gothic" w:hAnsi="Century Gothic" w:cs="Century Gothic"/>
          <w:sz w:val="20"/>
          <w:szCs w:val="20"/>
        </w:rPr>
        <w:t xml:space="preserve"> update individu</w:t>
      </w:r>
      <w:r>
        <w:rPr>
          <w:rFonts w:ascii="Century Gothic" w:eastAsia="Century Gothic" w:hAnsi="Century Gothic" w:cs="Century Gothic"/>
          <w:sz w:val="20"/>
          <w:szCs w:val="20"/>
        </w:rPr>
        <w:t xml:space="preserve">al or shared writing products in response to ongoing feedback, including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new arguments or information.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 xml:space="preserve">● Utilize a standard style guide framework for in-text documentation, formatting, and works cited in order to properly credit sources in all writing </w:t>
      </w:r>
    </w:p>
    <w:p w:rsidR="000601F2" w:rsidRDefault="00357C2A">
      <w:pPr>
        <w:ind w:firstLine="720"/>
        <w:rPr>
          <w:rFonts w:ascii="Century Gothic" w:eastAsia="Century Gothic" w:hAnsi="Century Gothic" w:cs="Century Gothic"/>
          <w:sz w:val="20"/>
          <w:szCs w:val="20"/>
        </w:rPr>
      </w:pPr>
      <w:r>
        <w:rPr>
          <w:rFonts w:ascii="Century Gothic" w:eastAsia="Century Gothic" w:hAnsi="Century Gothic" w:cs="Century Gothic"/>
          <w:sz w:val="20"/>
          <w:szCs w:val="20"/>
        </w:rPr>
        <w:t>types, utilizing multiple sources when appropriate.</w:t>
      </w:r>
    </w:p>
    <w:p w:rsidR="000601F2" w:rsidRDefault="00357C2A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 Argumentative: answering analysis questions over literature and thematic analysis of a literary work from each literary movement</w:t>
      </w:r>
    </w:p>
    <w:p w:rsidR="000601F2" w:rsidRDefault="000601F2">
      <w:pPr>
        <w:ind w:left="1440"/>
        <w:rPr>
          <w:rFonts w:ascii="Century Gothic" w:eastAsia="Century Gothic" w:hAnsi="Century Gothic" w:cs="Century Gothic"/>
          <w:b/>
        </w:rPr>
      </w:pPr>
    </w:p>
    <w:p w:rsidR="000601F2" w:rsidRDefault="00357C2A">
      <w:pPr>
        <w:numPr>
          <w:ilvl w:val="0"/>
          <w:numId w:val="1"/>
        </w:num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Experiences: Literary Circle research (for histor</w:t>
      </w:r>
      <w:r>
        <w:rPr>
          <w:rFonts w:ascii="Century Gothic" w:eastAsia="Century Gothic" w:hAnsi="Century Gothic" w:cs="Century Gothic"/>
          <w:b/>
        </w:rPr>
        <w:t>ical criticism)</w:t>
      </w:r>
    </w:p>
    <w:p w:rsidR="000601F2" w:rsidRDefault="000601F2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0601F2" w:rsidRDefault="00357C2A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Speaking/Listening:</w:t>
      </w:r>
    </w:p>
    <w:p w:rsidR="000601F2" w:rsidRDefault="000601F2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0601F2" w:rsidRDefault="00357C2A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0601F2" w:rsidRDefault="000601F2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ind w:left="720"/>
        <w:rPr>
          <w:rFonts w:ascii="Century Gothic" w:eastAsia="Century Gothic" w:hAnsi="Century Gothic" w:cs="Century Gothic"/>
          <w:b/>
        </w:rPr>
      </w:pP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7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0601F2" w:rsidRDefault="000601F2">
      <w:pPr>
        <w:ind w:left="720"/>
        <w:rPr>
          <w:rFonts w:ascii="Century Gothic" w:eastAsia="Century Gothic" w:hAnsi="Century Gothic" w:cs="Century Gothic"/>
          <w:b/>
        </w:rPr>
      </w:pPr>
    </w:p>
    <w:p w:rsidR="000601F2" w:rsidRDefault="00357C2A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8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9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0601F2" w:rsidRDefault="000601F2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rPr>
          <w:rFonts w:ascii="Century Gothic" w:eastAsia="Century Gothic" w:hAnsi="Century Gothic" w:cs="Century Gothic"/>
          <w:b/>
        </w:rPr>
      </w:pPr>
    </w:p>
    <w:p w:rsidR="000601F2" w:rsidRDefault="000601F2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560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05"/>
        <w:gridCol w:w="1305"/>
        <w:gridCol w:w="1350"/>
        <w:gridCol w:w="1920"/>
        <w:gridCol w:w="1815"/>
        <w:gridCol w:w="4770"/>
        <w:gridCol w:w="1095"/>
      </w:tblGrid>
      <w:tr w:rsidR="000601F2">
        <w:trPr>
          <w:trHeight w:val="525"/>
        </w:trPr>
        <w:tc>
          <w:tcPr>
            <w:tcW w:w="1305" w:type="dxa"/>
            <w:shd w:val="clear" w:color="auto" w:fill="CCCCCC"/>
          </w:tcPr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305" w:type="dxa"/>
            <w:shd w:val="clear" w:color="auto" w:fill="CCCCCC"/>
          </w:tcPr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</w:tc>
        <w:tc>
          <w:tcPr>
            <w:tcW w:w="1350" w:type="dxa"/>
            <w:shd w:val="clear" w:color="auto" w:fill="CCCCCC"/>
          </w:tcPr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1920" w:type="dxa"/>
            <w:shd w:val="clear" w:color="auto" w:fill="CCCCCC"/>
          </w:tcPr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SMENTS</w:t>
            </w:r>
          </w:p>
        </w:tc>
        <w:tc>
          <w:tcPr>
            <w:tcW w:w="1815" w:type="dxa"/>
            <w:shd w:val="clear" w:color="auto" w:fill="CCCCCC"/>
          </w:tcPr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4770" w:type="dxa"/>
            <w:shd w:val="clear" w:color="auto" w:fill="CCCCCC"/>
          </w:tcPr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095" w:type="dxa"/>
            <w:shd w:val="clear" w:color="auto" w:fill="CCCCCC"/>
          </w:tcPr>
          <w:p w:rsidR="000601F2" w:rsidRDefault="00357C2A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0601F2">
        <w:trPr>
          <w:trHeight w:val="765"/>
        </w:trPr>
        <w:tc>
          <w:tcPr>
            <w:tcW w:w="130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Victorian Era</w:t>
            </w:r>
          </w:p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05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Reading: </w:t>
            </w:r>
          </w:p>
        </w:tc>
        <w:tc>
          <w:tcPr>
            <w:tcW w:w="1350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</w:tc>
        <w:tc>
          <w:tcPr>
            <w:tcW w:w="1920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Victorian Era Test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       Thematic literary analysis essay</w:t>
            </w:r>
          </w:p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1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Poetic Speaker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Gender Criticism</w:t>
            </w:r>
          </w:p>
        </w:tc>
        <w:tc>
          <w:tcPr>
            <w:tcW w:w="4770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Jane Austen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 Pride and Prejudice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Excerpt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Joseph Conrad</w:t>
            </w:r>
            <w:r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 Heart of Darkness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Excerpt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Tennyson: “Crossing the Bar,” “Lady of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Shalott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,” from “Ulysses,” and from “In Memoriam”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Christina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Rosetti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“In an Artist’s Studio”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Robert Browning: “My Last Duchess” and “Porphyria’s Lover</w:t>
            </w: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Elizabeth Barrett Browning Sonnet 43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Emily Bronte “Remembrance”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Matthew Arnold “Dover Beach” and “To Marguerite- Continued”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Dickens’ excerpts about working class life</w:t>
            </w:r>
          </w:p>
        </w:tc>
        <w:tc>
          <w:tcPr>
            <w:tcW w:w="109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3 Weeks</w:t>
            </w:r>
          </w:p>
        </w:tc>
      </w:tr>
      <w:tr w:rsidR="000601F2">
        <w:trPr>
          <w:trHeight w:val="1040"/>
        </w:trPr>
        <w:tc>
          <w:tcPr>
            <w:tcW w:w="130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05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1350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W.1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</w:t>
            </w:r>
          </w:p>
        </w:tc>
        <w:tc>
          <w:tcPr>
            <w:tcW w:w="1920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1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4770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9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0601F2">
        <w:trPr>
          <w:trHeight w:val="200"/>
        </w:trPr>
        <w:tc>
          <w:tcPr>
            <w:tcW w:w="130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Modern Era</w:t>
            </w:r>
          </w:p>
        </w:tc>
        <w:tc>
          <w:tcPr>
            <w:tcW w:w="1305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</w:tc>
        <w:tc>
          <w:tcPr>
            <w:tcW w:w="1350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</w:tc>
        <w:tc>
          <w:tcPr>
            <w:tcW w:w="1920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Modernism Test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     Thematic literary analysis essay</w:t>
            </w:r>
          </w:p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1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Historical Criticism</w:t>
            </w:r>
          </w:p>
        </w:tc>
        <w:tc>
          <w:tcPr>
            <w:tcW w:w="4770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T.S. Eliot “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THe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Hollow Men” and “Preludes”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W.H. Auden “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Musee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des Beaux Arts” and “Unknown Citizen”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Virginia Woolf “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Lappin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Lapinova</w:t>
            </w:r>
            <w:proofErr w:type="spell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” and from “A Room of One’s Own”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WWI Poetry, Ads, and Political cartoons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William Butler Yeats “Easter 1916”</w:t>
            </w:r>
          </w:p>
        </w:tc>
        <w:tc>
          <w:tcPr>
            <w:tcW w:w="109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Weeks</w:t>
            </w:r>
          </w:p>
        </w:tc>
      </w:tr>
      <w:tr w:rsidR="000601F2">
        <w:trPr>
          <w:trHeight w:val="200"/>
        </w:trPr>
        <w:tc>
          <w:tcPr>
            <w:tcW w:w="130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05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1350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W.1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</w:t>
            </w:r>
          </w:p>
        </w:tc>
        <w:tc>
          <w:tcPr>
            <w:tcW w:w="1920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1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4770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9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0601F2">
        <w:trPr>
          <w:trHeight w:val="255"/>
        </w:trPr>
        <w:tc>
          <w:tcPr>
            <w:tcW w:w="130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British Literary Circles</w:t>
            </w:r>
          </w:p>
        </w:tc>
        <w:tc>
          <w:tcPr>
            <w:tcW w:w="1305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</w:tc>
        <w:tc>
          <w:tcPr>
            <w:tcW w:w="1350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</w:tc>
        <w:tc>
          <w:tcPr>
            <w:tcW w:w="1920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Literary Analysis Essay</w:t>
            </w:r>
          </w:p>
        </w:tc>
        <w:tc>
          <w:tcPr>
            <w:tcW w:w="181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Historical, Psychological, and Gender Criticism</w:t>
            </w:r>
          </w:p>
        </w:tc>
        <w:tc>
          <w:tcPr>
            <w:tcW w:w="4770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CHOOSE ONE: 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The Hitchhiker’s Guide to the Galaxy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Emma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Mansfield Park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Pride and Prejudice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Sense and Sensibility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Jane Eyre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Wuthering Heights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Alice’s Adventures in Wonderland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And Then There Were None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Murder on the Orient Express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The ABC Murders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The Murder of Roger </w:t>
            </w:r>
            <w:proofErr w:type="spellStart"/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Ackroyd</w:t>
            </w:r>
            <w:proofErr w:type="spellEnd"/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A Tale of Two Cities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Great Expectations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Oliver Twist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Brave New World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Turn of the Screw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Nineteen-</w:t>
            </w:r>
            <w:proofErr w:type="gramStart"/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Eighty Four</w:t>
            </w:r>
            <w:proofErr w:type="gramEnd"/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On the Beach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The Strange Case of Dr. Jekyll and Mr. Hyde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Treasure Island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The Fellowship of the Ring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The Hobbit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 xml:space="preserve">The Time </w:t>
            </w: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Machine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The War of the Worlds</w:t>
            </w:r>
          </w:p>
          <w:p w:rsidR="000601F2" w:rsidRDefault="00357C2A">
            <w:pPr>
              <w:ind w:left="27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sz w:val="18"/>
                <w:szCs w:val="18"/>
              </w:rPr>
              <w:t>The Picture of Dorian Gray</w:t>
            </w:r>
          </w:p>
        </w:tc>
        <w:tc>
          <w:tcPr>
            <w:tcW w:w="1095" w:type="dxa"/>
            <w:vMerge w:val="restart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4 Weeks</w:t>
            </w:r>
          </w:p>
        </w:tc>
      </w:tr>
      <w:tr w:rsidR="000601F2">
        <w:trPr>
          <w:trHeight w:val="200"/>
        </w:trPr>
        <w:tc>
          <w:tcPr>
            <w:tcW w:w="130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05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</w:tc>
        <w:tc>
          <w:tcPr>
            <w:tcW w:w="1350" w:type="dxa"/>
          </w:tcPr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0601F2" w:rsidRDefault="00357C2A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</w:tc>
        <w:tc>
          <w:tcPr>
            <w:tcW w:w="1920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81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4770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095" w:type="dxa"/>
            <w:vMerge/>
          </w:tcPr>
          <w:p w:rsidR="000601F2" w:rsidRDefault="000601F2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:rsidR="000601F2" w:rsidRDefault="000601F2">
      <w:pPr>
        <w:rPr>
          <w:rFonts w:ascii="Century Gothic" w:eastAsia="Century Gothic" w:hAnsi="Century Gothic" w:cs="Century Gothic"/>
          <w:sz w:val="2"/>
          <w:szCs w:val="2"/>
        </w:rPr>
      </w:pPr>
    </w:p>
    <w:p w:rsidR="000601F2" w:rsidRDefault="000601F2">
      <w:pPr>
        <w:rPr>
          <w:rFonts w:ascii="Century Gothic" w:eastAsia="Century Gothic" w:hAnsi="Century Gothic" w:cs="Century Gothic"/>
          <w:sz w:val="2"/>
          <w:szCs w:val="2"/>
        </w:rPr>
      </w:pPr>
    </w:p>
    <w:sectPr w:rsidR="000601F2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8D5452"/>
    <w:multiLevelType w:val="multilevel"/>
    <w:tmpl w:val="25CED4E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1F2"/>
    <w:rsid w:val="000601F2"/>
    <w:rsid w:val="0035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60ADF7-74BE-4740-ADF0-F24BFAF34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O6cUCx3ilXNH_1YwHs84rF8AVjMNQHBc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xv2t5SvYJxe_mvl75Nq3OtzH_4IbFGSV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s/d/1OlWZ0rMtBqB6veWkoL1Ry3wFBzUWbIvwUd_Um1PqoGE/edit?usp=sharin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google.com/spreadsheets/d/1zVTSWqlRFaT84TyhcjrREZzoLhNcWK9hMPiq8i1u_e0/edit?usp=sharin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BnR3GS1vRqORmEFWvxzKb-p7RZQTC2e6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6629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2023-06-19T17:38:00Z</dcterms:created>
  <dcterms:modified xsi:type="dcterms:W3CDTF">2023-06-19T17:38:00Z</dcterms:modified>
</cp:coreProperties>
</file>